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07" w:rsidRDefault="002E0110">
      <w:pPr>
        <w:spacing w:before="73"/>
        <w:ind w:left="2488" w:right="2627"/>
        <w:jc w:val="center"/>
        <w:rPr>
          <w:sz w:val="36"/>
        </w:rPr>
      </w:pPr>
      <w:r>
        <w:rPr>
          <w:color w:val="000099"/>
          <w:sz w:val="36"/>
        </w:rPr>
        <w:t>COLLEGE OF MICRONESIA-FSM</w:t>
      </w:r>
    </w:p>
    <w:p w:rsidR="00C75E07" w:rsidRDefault="002E0110">
      <w:pPr>
        <w:tabs>
          <w:tab w:val="left" w:pos="2437"/>
          <w:tab w:val="left" w:pos="10392"/>
        </w:tabs>
        <w:spacing w:before="107"/>
        <w:ind w:left="110"/>
        <w:rPr>
          <w:sz w:val="52"/>
        </w:rPr>
      </w:pPr>
      <w:r>
        <w:rPr>
          <w:sz w:val="52"/>
          <w:u w:val="thick" w:color="000099"/>
        </w:rPr>
        <w:t xml:space="preserve"> </w:t>
      </w:r>
      <w:r>
        <w:rPr>
          <w:sz w:val="52"/>
          <w:u w:val="thick" w:color="000099"/>
        </w:rPr>
        <w:tab/>
        <w:t>BOARD POLICY No.</w:t>
      </w:r>
      <w:r>
        <w:rPr>
          <w:spacing w:val="-5"/>
          <w:sz w:val="52"/>
          <w:u w:val="thick" w:color="000099"/>
        </w:rPr>
        <w:t xml:space="preserve"> </w:t>
      </w:r>
      <w:r w:rsidR="00CB316A">
        <w:rPr>
          <w:sz w:val="52"/>
          <w:u w:val="thick" w:color="000099"/>
        </w:rPr>
        <w:t>1490 (DRAFT)</w:t>
      </w:r>
      <w:r>
        <w:rPr>
          <w:sz w:val="52"/>
          <w:u w:val="thick" w:color="000099"/>
        </w:rPr>
        <w:tab/>
      </w:r>
    </w:p>
    <w:p w:rsidR="00C75E07" w:rsidRDefault="00C75E07">
      <w:pPr>
        <w:pStyle w:val="BodyText"/>
        <w:rPr>
          <w:sz w:val="20"/>
        </w:rPr>
      </w:pPr>
    </w:p>
    <w:p w:rsidR="00CB316A" w:rsidRPr="00CB316A" w:rsidRDefault="00CB316A" w:rsidP="00CB316A">
      <w:pPr>
        <w:pStyle w:val="BodyText"/>
        <w:rPr>
          <w:b/>
          <w:sz w:val="32"/>
          <w:szCs w:val="32"/>
        </w:rPr>
      </w:pPr>
      <w:r w:rsidRPr="00CB316A">
        <w:rPr>
          <w:b/>
          <w:sz w:val="32"/>
          <w:szCs w:val="32"/>
        </w:rPr>
        <w:t>Endowment Governance and Investment Policy</w:t>
      </w:r>
    </w:p>
    <w:p w:rsidR="00CB316A" w:rsidRPr="00CB316A" w:rsidRDefault="00CB316A">
      <w:pPr>
        <w:pStyle w:val="BodyText"/>
        <w:tabs>
          <w:tab w:val="left" w:pos="2591"/>
        </w:tabs>
        <w:spacing w:before="268" w:line="453" w:lineRule="auto"/>
        <w:ind w:left="431" w:right="6712"/>
      </w:pPr>
      <w:r w:rsidRPr="00CB316A">
        <w:t>Date Adopted:</w:t>
      </w:r>
      <w:r w:rsidRPr="00CB316A">
        <w:tab/>
      </w:r>
    </w:p>
    <w:p w:rsidR="00C75E07" w:rsidRPr="00CB316A" w:rsidRDefault="002E0110">
      <w:pPr>
        <w:pStyle w:val="BodyText"/>
        <w:tabs>
          <w:tab w:val="left" w:pos="2591"/>
        </w:tabs>
        <w:spacing w:before="268" w:line="453" w:lineRule="auto"/>
        <w:ind w:left="431" w:right="6712"/>
      </w:pPr>
      <w:r w:rsidRPr="00CB316A">
        <w:t>Date</w:t>
      </w:r>
      <w:r w:rsidRPr="00CB316A">
        <w:rPr>
          <w:spacing w:val="-1"/>
        </w:rPr>
        <w:t xml:space="preserve"> </w:t>
      </w:r>
      <w:r w:rsidRPr="00CB316A">
        <w:t>Revised:</w:t>
      </w:r>
    </w:p>
    <w:p w:rsidR="00C75E07" w:rsidRPr="00CB316A" w:rsidRDefault="002E0110">
      <w:pPr>
        <w:pStyle w:val="BodyText"/>
        <w:tabs>
          <w:tab w:val="left" w:pos="2591"/>
        </w:tabs>
        <w:spacing w:line="269" w:lineRule="exact"/>
        <w:ind w:left="431"/>
      </w:pPr>
      <w:r w:rsidRPr="00CB316A">
        <w:t>Date</w:t>
      </w:r>
      <w:r w:rsidRPr="00CB316A">
        <w:rPr>
          <w:spacing w:val="-2"/>
        </w:rPr>
        <w:t xml:space="preserve"> </w:t>
      </w:r>
      <w:r w:rsidR="00CB316A" w:rsidRPr="00CB316A">
        <w:t>Reviewed:</w:t>
      </w:r>
      <w:r w:rsidR="00CB316A" w:rsidRPr="00CB316A">
        <w:tab/>
      </w:r>
    </w:p>
    <w:p w:rsidR="00C75E07" w:rsidRPr="00CB316A" w:rsidRDefault="00C75E07">
      <w:pPr>
        <w:pStyle w:val="BodyText"/>
        <w:spacing w:before="4"/>
      </w:pPr>
    </w:p>
    <w:p w:rsidR="00C75E07" w:rsidRPr="00CB316A" w:rsidRDefault="002E0110">
      <w:pPr>
        <w:pStyle w:val="BodyText"/>
        <w:tabs>
          <w:tab w:val="left" w:pos="2591"/>
        </w:tabs>
        <w:spacing w:before="1"/>
        <w:ind w:left="431"/>
      </w:pPr>
      <w:r w:rsidRPr="00CB316A">
        <w:t>References:</w:t>
      </w:r>
      <w:r w:rsidR="00CB316A" w:rsidRPr="00CB316A">
        <w:t xml:space="preserve">  BP 1440 (Investment Policy), BP 1450 (Endowment Fund), BP 1460 (Fundraising); Investment Policy Statement, Public Law 7-79, Board Bylaws Article V, Strategic Financial Plan 2025–2030</w:t>
      </w:r>
    </w:p>
    <w:p w:rsidR="00C75E07" w:rsidRPr="00CB316A" w:rsidRDefault="00C75E07">
      <w:pPr>
        <w:pStyle w:val="BodyText"/>
        <w:spacing w:before="11"/>
      </w:pPr>
    </w:p>
    <w:p w:rsidR="00CB316A" w:rsidRPr="00CB316A" w:rsidRDefault="00CB316A" w:rsidP="00CB316A">
      <w:pPr>
        <w:keepNext/>
        <w:keepLines/>
        <w:widowControl/>
        <w:autoSpaceDE/>
        <w:autoSpaceDN/>
        <w:spacing w:before="200" w:line="276" w:lineRule="auto"/>
        <w:outlineLvl w:val="1"/>
        <w:rPr>
          <w:rFonts w:eastAsia="MS Gothic" w:cs="Times New Roman"/>
          <w:b/>
          <w:bCs/>
          <w:sz w:val="24"/>
          <w:szCs w:val="24"/>
          <w:lang w:bidi="ar-SA"/>
        </w:rPr>
      </w:pPr>
      <w:r w:rsidRPr="00CB316A">
        <w:rPr>
          <w:rFonts w:eastAsia="MS Gothic" w:cs="Times New Roman"/>
          <w:b/>
          <w:bCs/>
          <w:sz w:val="24"/>
          <w:szCs w:val="24"/>
          <w:lang w:bidi="ar-SA"/>
        </w:rPr>
        <w:t>I. Purpose and Scope</w:t>
      </w:r>
    </w:p>
    <w:p w:rsidR="00CB316A" w:rsidRPr="00CB316A" w:rsidRDefault="00CB316A" w:rsidP="00CB316A">
      <w:pPr>
        <w:widowControl/>
        <w:autoSpaceDE/>
        <w:autoSpaceDN/>
        <w:spacing w:after="200" w:line="276" w:lineRule="auto"/>
        <w:rPr>
          <w:rFonts w:eastAsia="MS Mincho" w:cs="Times New Roman"/>
          <w:sz w:val="24"/>
          <w:szCs w:val="24"/>
          <w:lang w:bidi="ar-SA"/>
        </w:rPr>
      </w:pPr>
      <w:r w:rsidRPr="00CB316A">
        <w:rPr>
          <w:rFonts w:eastAsia="MS Mincho" w:cs="Times New Roman"/>
          <w:sz w:val="24"/>
          <w:szCs w:val="24"/>
          <w:lang w:bidi="ar-SA"/>
        </w:rPr>
        <w:t>This policy consolidates and governs the College's fundraising efforts, endowment fund management, investment strategy, and spending policy to support the long-term financial sustainability of the College of Micronesia-FSM.</w:t>
      </w:r>
    </w:p>
    <w:p w:rsidR="00CB316A" w:rsidRPr="00CB316A" w:rsidRDefault="00CB316A" w:rsidP="00CB316A">
      <w:pPr>
        <w:keepNext/>
        <w:keepLines/>
        <w:widowControl/>
        <w:autoSpaceDE/>
        <w:autoSpaceDN/>
        <w:spacing w:before="200" w:line="276" w:lineRule="auto"/>
        <w:outlineLvl w:val="1"/>
        <w:rPr>
          <w:rFonts w:eastAsia="MS Gothic" w:cs="Times New Roman"/>
          <w:b/>
          <w:bCs/>
          <w:sz w:val="24"/>
          <w:szCs w:val="24"/>
          <w:lang w:bidi="ar-SA"/>
        </w:rPr>
      </w:pPr>
      <w:r w:rsidRPr="00CB316A">
        <w:rPr>
          <w:rFonts w:eastAsia="MS Gothic" w:cs="Times New Roman"/>
          <w:b/>
          <w:bCs/>
          <w:sz w:val="24"/>
          <w:szCs w:val="24"/>
          <w:lang w:bidi="ar-SA"/>
        </w:rPr>
        <w:t>II. Governance and Fiduciary Oversight</w:t>
      </w:r>
    </w:p>
    <w:p w:rsidR="00CB316A" w:rsidRPr="00CB316A" w:rsidRDefault="00CB316A" w:rsidP="00CB316A">
      <w:pPr>
        <w:widowControl/>
        <w:autoSpaceDE/>
        <w:autoSpaceDN/>
        <w:spacing w:after="200" w:line="276" w:lineRule="auto"/>
        <w:rPr>
          <w:rFonts w:eastAsia="MS Mincho" w:cs="Times New Roman"/>
          <w:sz w:val="24"/>
          <w:szCs w:val="24"/>
          <w:lang w:bidi="ar-SA"/>
        </w:rPr>
      </w:pPr>
      <w:r w:rsidRPr="00CB316A">
        <w:rPr>
          <w:rFonts w:eastAsia="MS Mincho" w:cs="Times New Roman"/>
          <w:sz w:val="24"/>
          <w:szCs w:val="24"/>
          <w:lang w:bidi="ar-SA"/>
        </w:rPr>
        <w:t>The Board of Regents shall exercise fiduciary responsibility over the endowment and its related activities in accordance with Article V of the Board Bylaws. The Board Finance and Investment Committees shall oversee implementation and reporting.</w:t>
      </w:r>
    </w:p>
    <w:p w:rsidR="00CB316A" w:rsidRPr="00CB316A" w:rsidRDefault="00CB316A" w:rsidP="00CB316A">
      <w:pPr>
        <w:keepNext/>
        <w:keepLines/>
        <w:widowControl/>
        <w:autoSpaceDE/>
        <w:autoSpaceDN/>
        <w:spacing w:before="200" w:line="276" w:lineRule="auto"/>
        <w:outlineLvl w:val="1"/>
        <w:rPr>
          <w:rFonts w:eastAsia="MS Gothic" w:cs="Times New Roman"/>
          <w:b/>
          <w:bCs/>
          <w:sz w:val="24"/>
          <w:szCs w:val="24"/>
          <w:lang w:bidi="ar-SA"/>
        </w:rPr>
      </w:pPr>
      <w:r w:rsidRPr="00CB316A">
        <w:rPr>
          <w:rFonts w:eastAsia="MS Gothic" w:cs="Times New Roman"/>
          <w:b/>
          <w:bCs/>
          <w:sz w:val="24"/>
          <w:szCs w:val="24"/>
          <w:lang w:bidi="ar-SA"/>
        </w:rPr>
        <w:t>III. Fundraising Strategy</w:t>
      </w:r>
    </w:p>
    <w:p w:rsidR="00CB316A" w:rsidRPr="00CB316A" w:rsidRDefault="00CB316A" w:rsidP="00CB316A">
      <w:pPr>
        <w:widowControl/>
        <w:autoSpaceDE/>
        <w:autoSpaceDN/>
        <w:spacing w:after="200" w:line="276" w:lineRule="auto"/>
        <w:rPr>
          <w:rFonts w:eastAsia="MS Mincho" w:cs="Times New Roman"/>
          <w:sz w:val="24"/>
          <w:szCs w:val="24"/>
          <w:lang w:bidi="ar-SA"/>
        </w:rPr>
      </w:pPr>
      <w:r w:rsidRPr="00CB316A">
        <w:rPr>
          <w:rFonts w:eastAsia="MS Mincho" w:cs="Times New Roman"/>
          <w:sz w:val="24"/>
          <w:szCs w:val="24"/>
          <w:lang w:bidi="ar-SA"/>
        </w:rPr>
        <w:t>The College sets an annual fundraising target of $600,000, in line with current asset modeling and long-term capital needs.</w:t>
      </w:r>
      <w:r w:rsidRPr="00CB316A">
        <w:rPr>
          <w:rFonts w:eastAsia="MS Mincho" w:cs="Times New Roman"/>
          <w:sz w:val="24"/>
          <w:szCs w:val="24"/>
          <w:lang w:bidi="ar-SA"/>
        </w:rPr>
        <w:br/>
      </w:r>
      <w:r w:rsidRPr="00CB316A">
        <w:rPr>
          <w:rFonts w:eastAsia="MS Mincho" w:cs="Times New Roman"/>
          <w:sz w:val="24"/>
          <w:szCs w:val="24"/>
          <w:lang w:bidi="ar-SA"/>
        </w:rPr>
        <w:br/>
        <w:t>The Office of Institutional Advancement and External Affairs (IAEA) shall:</w:t>
      </w:r>
      <w:r w:rsidRPr="00CB316A">
        <w:rPr>
          <w:rFonts w:eastAsia="MS Mincho" w:cs="Times New Roman"/>
          <w:sz w:val="24"/>
          <w:szCs w:val="24"/>
          <w:lang w:bidi="ar-SA"/>
        </w:rPr>
        <w:br/>
        <w:t>- Develop an annual fundraising calendar</w:t>
      </w:r>
      <w:r w:rsidRPr="00CB316A">
        <w:rPr>
          <w:rFonts w:eastAsia="MS Mincho" w:cs="Times New Roman"/>
          <w:sz w:val="24"/>
          <w:szCs w:val="24"/>
          <w:lang w:bidi="ar-SA"/>
        </w:rPr>
        <w:br/>
        <w:t>- Establish and convene a Fundraising Steering Committee</w:t>
      </w:r>
      <w:r w:rsidRPr="00CB316A">
        <w:rPr>
          <w:rFonts w:eastAsia="MS Mincho" w:cs="Times New Roman"/>
          <w:sz w:val="24"/>
          <w:szCs w:val="24"/>
          <w:lang w:bidi="ar-SA"/>
        </w:rPr>
        <w:br/>
        <w:t>- Coordinate donor cultivation, stewardship, and recognition</w:t>
      </w:r>
      <w:r w:rsidRPr="00CB316A">
        <w:rPr>
          <w:rFonts w:eastAsia="MS Mincho" w:cs="Times New Roman"/>
          <w:sz w:val="24"/>
          <w:szCs w:val="24"/>
          <w:lang w:bidi="ar-SA"/>
        </w:rPr>
        <w:br/>
        <w:t>- Submit annual fundraising performance reports to the Board</w:t>
      </w:r>
      <w:r w:rsidRPr="00CB316A">
        <w:rPr>
          <w:rFonts w:eastAsia="MS Mincho" w:cs="Times New Roman"/>
          <w:sz w:val="24"/>
          <w:szCs w:val="24"/>
          <w:lang w:bidi="ar-SA"/>
        </w:rPr>
        <w:br/>
      </w:r>
      <w:r w:rsidRPr="00CB316A">
        <w:rPr>
          <w:rFonts w:eastAsia="MS Mincho" w:cs="Times New Roman"/>
          <w:sz w:val="24"/>
          <w:szCs w:val="24"/>
          <w:lang w:bidi="ar-SA"/>
        </w:rPr>
        <w:br/>
        <w:t>Fundraising sources may include:</w:t>
      </w:r>
      <w:r w:rsidRPr="00CB316A">
        <w:rPr>
          <w:rFonts w:eastAsia="MS Mincho" w:cs="Times New Roman"/>
          <w:sz w:val="24"/>
          <w:szCs w:val="24"/>
          <w:lang w:bidi="ar-SA"/>
        </w:rPr>
        <w:br/>
        <w:t>- Private donations (alumni, corporations, diaspora)</w:t>
      </w:r>
      <w:r w:rsidRPr="00CB316A">
        <w:rPr>
          <w:rFonts w:eastAsia="MS Mincho" w:cs="Times New Roman"/>
          <w:sz w:val="24"/>
          <w:szCs w:val="24"/>
          <w:lang w:bidi="ar-SA"/>
        </w:rPr>
        <w:br/>
        <w:t>- Grant funding</w:t>
      </w:r>
      <w:r w:rsidRPr="00CB316A">
        <w:rPr>
          <w:rFonts w:eastAsia="MS Mincho" w:cs="Times New Roman"/>
          <w:sz w:val="24"/>
          <w:szCs w:val="24"/>
          <w:lang w:bidi="ar-SA"/>
        </w:rPr>
        <w:br/>
        <w:t>- Government appropriations and matching contributions</w:t>
      </w:r>
      <w:r w:rsidRPr="00CB316A">
        <w:rPr>
          <w:rFonts w:eastAsia="MS Mincho" w:cs="Times New Roman"/>
          <w:sz w:val="24"/>
          <w:szCs w:val="24"/>
          <w:lang w:bidi="ar-SA"/>
        </w:rPr>
        <w:br/>
        <w:t>- Campaigns and institutional events</w:t>
      </w:r>
    </w:p>
    <w:p w:rsidR="00CB316A" w:rsidRPr="00CB316A" w:rsidRDefault="00CB316A" w:rsidP="00CB316A">
      <w:pPr>
        <w:keepNext/>
        <w:keepLines/>
        <w:widowControl/>
        <w:autoSpaceDE/>
        <w:autoSpaceDN/>
        <w:spacing w:before="200" w:line="276" w:lineRule="auto"/>
        <w:outlineLvl w:val="1"/>
        <w:rPr>
          <w:rFonts w:eastAsia="MS Gothic" w:cs="Times New Roman"/>
          <w:b/>
          <w:bCs/>
          <w:sz w:val="24"/>
          <w:szCs w:val="24"/>
          <w:lang w:bidi="ar-SA"/>
        </w:rPr>
      </w:pPr>
      <w:r w:rsidRPr="00CB316A">
        <w:rPr>
          <w:rFonts w:eastAsia="MS Gothic" w:cs="Times New Roman"/>
          <w:b/>
          <w:bCs/>
          <w:sz w:val="24"/>
          <w:szCs w:val="24"/>
          <w:lang w:bidi="ar-SA"/>
        </w:rPr>
        <w:t>IV. Endowment Contributions and Use</w:t>
      </w:r>
    </w:p>
    <w:p w:rsidR="00CB316A" w:rsidRPr="00CB316A" w:rsidRDefault="00CB316A" w:rsidP="00CB316A">
      <w:pPr>
        <w:widowControl/>
        <w:autoSpaceDE/>
        <w:autoSpaceDN/>
        <w:spacing w:after="200" w:line="276" w:lineRule="auto"/>
        <w:rPr>
          <w:rFonts w:eastAsia="MS Mincho" w:cs="Times New Roman"/>
          <w:sz w:val="24"/>
          <w:szCs w:val="24"/>
          <w:lang w:bidi="ar-SA"/>
        </w:rPr>
      </w:pPr>
      <w:r w:rsidRPr="00CB316A">
        <w:rPr>
          <w:rFonts w:eastAsia="MS Mincho" w:cs="Times New Roman"/>
          <w:sz w:val="24"/>
          <w:szCs w:val="24"/>
          <w:lang w:bidi="ar-SA"/>
        </w:rPr>
        <w:t>The Endowment Fund was originally established in 1993 with a $20M principal goal; this policy supersedes fixed thresholds in favor of performance-based targets.</w:t>
      </w:r>
      <w:r w:rsidRPr="00CB316A">
        <w:rPr>
          <w:rFonts w:eastAsia="MS Mincho" w:cs="Times New Roman"/>
          <w:sz w:val="24"/>
          <w:szCs w:val="24"/>
          <w:lang w:bidi="ar-SA"/>
        </w:rPr>
        <w:br/>
        <w:t>- No general withdrawals shall occur unless the 3-year rolling average market value exceeds a Board-designated threshold.</w:t>
      </w:r>
      <w:r w:rsidRPr="00CB316A">
        <w:rPr>
          <w:rFonts w:eastAsia="MS Mincho" w:cs="Times New Roman"/>
          <w:sz w:val="24"/>
          <w:szCs w:val="24"/>
          <w:lang w:bidi="ar-SA"/>
        </w:rPr>
        <w:br/>
        <w:t>- Exceptions include:</w:t>
      </w:r>
      <w:r w:rsidRPr="00CB316A">
        <w:rPr>
          <w:rFonts w:eastAsia="MS Mincho" w:cs="Times New Roman"/>
          <w:sz w:val="24"/>
          <w:szCs w:val="24"/>
          <w:lang w:bidi="ar-SA"/>
        </w:rPr>
        <w:br/>
        <w:t xml:space="preserve">  - Payment of reasonable investment management costs</w:t>
      </w:r>
      <w:r w:rsidRPr="00CB316A">
        <w:rPr>
          <w:rFonts w:eastAsia="MS Mincho" w:cs="Times New Roman"/>
          <w:sz w:val="24"/>
          <w:szCs w:val="24"/>
          <w:lang w:bidi="ar-SA"/>
        </w:rPr>
        <w:br/>
        <w:t xml:space="preserve">  - Restricted gifts with donor-imposed conditions</w:t>
      </w:r>
      <w:r w:rsidRPr="00CB316A">
        <w:rPr>
          <w:rFonts w:eastAsia="MS Mincho" w:cs="Times New Roman"/>
          <w:sz w:val="24"/>
          <w:szCs w:val="24"/>
          <w:lang w:bidi="ar-SA"/>
        </w:rPr>
        <w:br/>
      </w:r>
      <w:r w:rsidRPr="00CB316A">
        <w:rPr>
          <w:rFonts w:eastAsia="MS Mincho" w:cs="Times New Roman"/>
          <w:sz w:val="24"/>
          <w:szCs w:val="24"/>
          <w:lang w:bidi="ar-SA"/>
        </w:rPr>
        <w:lastRenderedPageBreak/>
        <w:br/>
        <w:t>All uses must align with Public Law 7-79 and be included in a Board-approved budget.</w:t>
      </w:r>
    </w:p>
    <w:p w:rsidR="00CB316A" w:rsidRPr="00CB316A" w:rsidRDefault="00CB316A" w:rsidP="00CB316A">
      <w:pPr>
        <w:keepNext/>
        <w:keepLines/>
        <w:widowControl/>
        <w:autoSpaceDE/>
        <w:autoSpaceDN/>
        <w:spacing w:before="200" w:line="276" w:lineRule="auto"/>
        <w:outlineLvl w:val="1"/>
        <w:rPr>
          <w:rFonts w:eastAsia="MS Gothic" w:cs="Times New Roman"/>
          <w:b/>
          <w:bCs/>
          <w:sz w:val="24"/>
          <w:szCs w:val="24"/>
          <w:lang w:bidi="ar-SA"/>
        </w:rPr>
      </w:pPr>
      <w:r w:rsidRPr="00CB316A">
        <w:rPr>
          <w:rFonts w:eastAsia="MS Gothic" w:cs="Times New Roman"/>
          <w:b/>
          <w:bCs/>
          <w:sz w:val="24"/>
          <w:szCs w:val="24"/>
          <w:lang w:bidi="ar-SA"/>
        </w:rPr>
        <w:t>V. Investment Objectives and Asset Allocation</w:t>
      </w:r>
    </w:p>
    <w:p w:rsidR="00CB316A" w:rsidRPr="00CB316A" w:rsidRDefault="00CB316A" w:rsidP="00CB316A">
      <w:pPr>
        <w:widowControl/>
        <w:autoSpaceDE/>
        <w:autoSpaceDN/>
        <w:spacing w:after="200" w:line="276" w:lineRule="auto"/>
        <w:rPr>
          <w:rFonts w:eastAsia="MS Mincho" w:cs="Times New Roman"/>
          <w:sz w:val="24"/>
          <w:szCs w:val="24"/>
          <w:lang w:bidi="ar-SA"/>
        </w:rPr>
      </w:pPr>
      <w:r w:rsidRPr="00CB316A">
        <w:rPr>
          <w:rFonts w:eastAsia="MS Mincho" w:cs="Times New Roman"/>
          <w:sz w:val="24"/>
          <w:szCs w:val="24"/>
          <w:lang w:bidi="ar-SA"/>
        </w:rPr>
        <w:t>- Investment horizon: 20 years or longer</w:t>
      </w:r>
      <w:r w:rsidRPr="00CB316A">
        <w:rPr>
          <w:rFonts w:eastAsia="MS Mincho" w:cs="Times New Roman"/>
          <w:sz w:val="24"/>
          <w:szCs w:val="24"/>
          <w:lang w:bidi="ar-SA"/>
        </w:rPr>
        <w:br/>
        <w:t>- Long-term nominal return objective: 6.3% annually, net of fees</w:t>
      </w:r>
      <w:r w:rsidRPr="00CB316A">
        <w:rPr>
          <w:rFonts w:eastAsia="MS Mincho" w:cs="Times New Roman"/>
          <w:sz w:val="24"/>
          <w:szCs w:val="24"/>
          <w:lang w:bidi="ar-SA"/>
        </w:rPr>
        <w:br/>
        <w:t>- Real returns shall be evaluated using U.S. CPI as benchmark</w:t>
      </w:r>
      <w:r w:rsidRPr="00CB316A">
        <w:rPr>
          <w:rFonts w:eastAsia="MS Mincho" w:cs="Times New Roman"/>
          <w:sz w:val="24"/>
          <w:szCs w:val="24"/>
          <w:lang w:bidi="ar-SA"/>
        </w:rPr>
        <w:br/>
        <w:t>- Strategic asset allocation shall be reviewed every 3 years, with tactical flexibility as advised by external managers</w:t>
      </w:r>
      <w:r w:rsidRPr="00CB316A">
        <w:rPr>
          <w:rFonts w:eastAsia="MS Mincho" w:cs="Times New Roman"/>
          <w:sz w:val="24"/>
          <w:szCs w:val="24"/>
          <w:lang w:bidi="ar-SA"/>
        </w:rPr>
        <w:br/>
        <w:t>- Investments shall reflect prudent diversification and competitive return standards</w:t>
      </w:r>
    </w:p>
    <w:p w:rsidR="00CB316A" w:rsidRPr="00CB316A" w:rsidRDefault="00CB316A" w:rsidP="00CB316A">
      <w:pPr>
        <w:keepNext/>
        <w:keepLines/>
        <w:widowControl/>
        <w:autoSpaceDE/>
        <w:autoSpaceDN/>
        <w:spacing w:before="200" w:line="276" w:lineRule="auto"/>
        <w:outlineLvl w:val="1"/>
        <w:rPr>
          <w:rFonts w:eastAsia="MS Gothic" w:cs="Times New Roman"/>
          <w:b/>
          <w:bCs/>
          <w:sz w:val="24"/>
          <w:szCs w:val="24"/>
          <w:lang w:bidi="ar-SA"/>
        </w:rPr>
      </w:pPr>
      <w:r w:rsidRPr="00CB316A">
        <w:rPr>
          <w:rFonts w:eastAsia="MS Gothic" w:cs="Times New Roman"/>
          <w:b/>
          <w:bCs/>
          <w:sz w:val="24"/>
          <w:szCs w:val="24"/>
          <w:lang w:bidi="ar-SA"/>
        </w:rPr>
        <w:t>VI. Spending Policy</w:t>
      </w:r>
    </w:p>
    <w:p w:rsidR="00CB316A" w:rsidRPr="00CB316A" w:rsidRDefault="00CB316A" w:rsidP="00CA05E0">
      <w:pPr>
        <w:widowControl/>
        <w:autoSpaceDE/>
        <w:autoSpaceDN/>
        <w:spacing w:after="200" w:line="276" w:lineRule="auto"/>
        <w:rPr>
          <w:rFonts w:eastAsia="MS Mincho" w:cs="Times New Roman"/>
          <w:sz w:val="24"/>
          <w:szCs w:val="24"/>
          <w:lang w:bidi="ar-SA"/>
        </w:rPr>
      </w:pPr>
      <w:r w:rsidRPr="00CB316A">
        <w:rPr>
          <w:rFonts w:eastAsia="MS Mincho" w:cs="Times New Roman"/>
          <w:sz w:val="24"/>
          <w:szCs w:val="24"/>
          <w:lang w:bidi="ar-SA"/>
        </w:rPr>
        <w:t>To preserve principal while supporting institutional needs:</w:t>
      </w:r>
      <w:r w:rsidRPr="00CB316A">
        <w:rPr>
          <w:rFonts w:eastAsia="MS Mincho" w:cs="Times New Roman"/>
          <w:sz w:val="24"/>
          <w:szCs w:val="24"/>
          <w:lang w:bidi="ar-SA"/>
        </w:rPr>
        <w:br/>
        <w:t xml:space="preserve">- </w:t>
      </w:r>
      <w:r w:rsidR="00CA05E0" w:rsidRPr="00CA05E0">
        <w:rPr>
          <w:rFonts w:eastAsia="MS Mincho" w:cs="Times New Roman"/>
          <w:sz w:val="24"/>
          <w:szCs w:val="24"/>
          <w:lang w:bidi="ar-SA"/>
        </w:rPr>
        <w:t>No spending shall occur from the Endowment Fund until its 3-year rolling average market value reaches or excee</w:t>
      </w:r>
      <w:r w:rsidR="00CA05E0">
        <w:rPr>
          <w:rFonts w:eastAsia="MS Mincho" w:cs="Times New Roman"/>
          <w:sz w:val="24"/>
          <w:szCs w:val="24"/>
          <w:lang w:bidi="ar-SA"/>
        </w:rPr>
        <w:t xml:space="preserve">ds $20 million. </w:t>
      </w:r>
      <w:r w:rsidR="00CA05E0" w:rsidRPr="00CA05E0">
        <w:rPr>
          <w:rFonts w:eastAsia="MS Mincho" w:cs="Times New Roman"/>
          <w:sz w:val="24"/>
          <w:szCs w:val="24"/>
          <w:lang w:bidi="ar-SA"/>
        </w:rPr>
        <w:t>Once this threshold is met, annual spending shall not exceed 4% of the 3-year rolling average market value, unless otherwise authorized by the Board of Regents with documented justification.</w:t>
      </w:r>
      <w:r w:rsidRPr="00CB316A">
        <w:rPr>
          <w:rFonts w:eastAsia="MS Mincho" w:cs="Times New Roman"/>
          <w:sz w:val="24"/>
          <w:szCs w:val="24"/>
          <w:lang w:bidi="ar-SA"/>
        </w:rPr>
        <w:br/>
        <w:t>- Exceptions require full Board approval with documented justification</w:t>
      </w:r>
    </w:p>
    <w:p w:rsidR="00CB316A" w:rsidRPr="00CB316A" w:rsidRDefault="00CB316A" w:rsidP="00CB316A">
      <w:pPr>
        <w:keepNext/>
        <w:keepLines/>
        <w:widowControl/>
        <w:autoSpaceDE/>
        <w:autoSpaceDN/>
        <w:spacing w:before="200" w:line="276" w:lineRule="auto"/>
        <w:outlineLvl w:val="1"/>
        <w:rPr>
          <w:rFonts w:eastAsia="MS Gothic" w:cs="Times New Roman"/>
          <w:b/>
          <w:bCs/>
          <w:sz w:val="24"/>
          <w:szCs w:val="24"/>
          <w:lang w:bidi="ar-SA"/>
        </w:rPr>
      </w:pPr>
      <w:r w:rsidRPr="00CB316A">
        <w:rPr>
          <w:rFonts w:eastAsia="MS Gothic" w:cs="Times New Roman"/>
          <w:b/>
          <w:bCs/>
          <w:sz w:val="24"/>
          <w:szCs w:val="24"/>
          <w:lang w:bidi="ar-SA"/>
        </w:rPr>
        <w:t>VII. Performance Monitoring and Reporting</w:t>
      </w:r>
    </w:p>
    <w:p w:rsidR="00CB316A" w:rsidRPr="00CB316A" w:rsidRDefault="00CB316A" w:rsidP="00CB316A">
      <w:pPr>
        <w:widowControl/>
        <w:autoSpaceDE/>
        <w:autoSpaceDN/>
        <w:spacing w:after="200" w:line="276" w:lineRule="auto"/>
        <w:rPr>
          <w:rFonts w:eastAsia="MS Mincho" w:cs="Times New Roman"/>
          <w:sz w:val="24"/>
          <w:szCs w:val="24"/>
          <w:lang w:bidi="ar-SA"/>
        </w:rPr>
      </w:pPr>
      <w:r w:rsidRPr="00CB316A">
        <w:rPr>
          <w:rFonts w:eastAsia="MS Mincho" w:cs="Times New Roman"/>
          <w:sz w:val="24"/>
          <w:szCs w:val="24"/>
          <w:lang w:bidi="ar-SA"/>
        </w:rPr>
        <w:t>- Investment performance shall be reviewed quarterly with the Investment Advisor</w:t>
      </w:r>
      <w:bookmarkStart w:id="0" w:name="_GoBack"/>
      <w:bookmarkEnd w:id="0"/>
      <w:r w:rsidRPr="00CB316A">
        <w:rPr>
          <w:rFonts w:eastAsia="MS Mincho" w:cs="Times New Roman"/>
          <w:sz w:val="24"/>
          <w:szCs w:val="24"/>
          <w:lang w:bidi="ar-SA"/>
        </w:rPr>
        <w:br/>
        <w:t>- The Board shall receive an annual investment performance report, including:</w:t>
      </w:r>
      <w:r w:rsidRPr="00CB316A">
        <w:rPr>
          <w:rFonts w:eastAsia="MS Mincho" w:cs="Times New Roman"/>
          <w:sz w:val="24"/>
          <w:szCs w:val="24"/>
          <w:lang w:bidi="ar-SA"/>
        </w:rPr>
        <w:br/>
        <w:t xml:space="preserve">  - Return vs. benchmark index</w:t>
      </w:r>
      <w:r w:rsidRPr="00CB316A">
        <w:rPr>
          <w:rFonts w:eastAsia="MS Mincho" w:cs="Times New Roman"/>
          <w:sz w:val="24"/>
          <w:szCs w:val="24"/>
          <w:lang w:bidi="ar-SA"/>
        </w:rPr>
        <w:br/>
        <w:t xml:space="preserve">  - Asset allocation compliance</w:t>
      </w:r>
      <w:r w:rsidRPr="00CB316A">
        <w:rPr>
          <w:rFonts w:eastAsia="MS Mincho" w:cs="Times New Roman"/>
          <w:sz w:val="24"/>
          <w:szCs w:val="24"/>
          <w:lang w:bidi="ar-SA"/>
        </w:rPr>
        <w:br/>
        <w:t xml:space="preserve">  - Risk metrics (standard deviation, Sharpe ratio, etc.)</w:t>
      </w:r>
      <w:r w:rsidRPr="00CB316A">
        <w:rPr>
          <w:rFonts w:eastAsia="MS Mincho" w:cs="Times New Roman"/>
          <w:sz w:val="24"/>
          <w:szCs w:val="24"/>
          <w:lang w:bidi="ar-SA"/>
        </w:rPr>
        <w:br/>
        <w:t>- Fundraising outcomes shall be reported annually</w:t>
      </w:r>
    </w:p>
    <w:p w:rsidR="00CB316A" w:rsidRPr="00CB316A" w:rsidRDefault="00CB316A" w:rsidP="00CB316A">
      <w:pPr>
        <w:keepNext/>
        <w:keepLines/>
        <w:widowControl/>
        <w:autoSpaceDE/>
        <w:autoSpaceDN/>
        <w:spacing w:before="200" w:line="276" w:lineRule="auto"/>
        <w:outlineLvl w:val="1"/>
        <w:rPr>
          <w:rFonts w:eastAsia="MS Gothic" w:cs="Times New Roman"/>
          <w:b/>
          <w:bCs/>
          <w:sz w:val="24"/>
          <w:szCs w:val="24"/>
          <w:lang w:bidi="ar-SA"/>
        </w:rPr>
      </w:pPr>
      <w:r w:rsidRPr="00CB316A">
        <w:rPr>
          <w:rFonts w:eastAsia="MS Gothic" w:cs="Times New Roman"/>
          <w:b/>
          <w:bCs/>
          <w:sz w:val="24"/>
          <w:szCs w:val="24"/>
          <w:lang w:bidi="ar-SA"/>
        </w:rPr>
        <w:t>VIII. Donor Stewardship and Ethical Considerations</w:t>
      </w:r>
    </w:p>
    <w:p w:rsidR="00CB316A" w:rsidRPr="00CB316A" w:rsidRDefault="00CB316A" w:rsidP="00CB316A">
      <w:pPr>
        <w:widowControl/>
        <w:autoSpaceDE/>
        <w:autoSpaceDN/>
        <w:spacing w:after="200" w:line="276" w:lineRule="auto"/>
        <w:rPr>
          <w:rFonts w:eastAsia="MS Mincho" w:cs="Times New Roman"/>
          <w:sz w:val="24"/>
          <w:szCs w:val="24"/>
          <w:lang w:bidi="ar-SA"/>
        </w:rPr>
      </w:pPr>
      <w:r w:rsidRPr="00CB316A">
        <w:rPr>
          <w:rFonts w:eastAsia="MS Mincho" w:cs="Times New Roman"/>
          <w:sz w:val="24"/>
          <w:szCs w:val="24"/>
          <w:lang w:bidi="ar-SA"/>
        </w:rPr>
        <w:t>- Donor intent shall be honored in full</w:t>
      </w:r>
      <w:r w:rsidRPr="00CB316A">
        <w:rPr>
          <w:rFonts w:eastAsia="MS Mincho" w:cs="Times New Roman"/>
          <w:sz w:val="24"/>
          <w:szCs w:val="24"/>
          <w:lang w:bidi="ar-SA"/>
        </w:rPr>
        <w:br/>
        <w:t>- Recognition and naming rights policies must be Board-approved</w:t>
      </w:r>
      <w:r w:rsidRPr="00CB316A">
        <w:rPr>
          <w:rFonts w:eastAsia="MS Mincho" w:cs="Times New Roman"/>
          <w:sz w:val="24"/>
          <w:szCs w:val="24"/>
          <w:lang w:bidi="ar-SA"/>
        </w:rPr>
        <w:br/>
        <w:t>- The College may adopt ESG considerations or social investment screens pending Board evaluation</w:t>
      </w:r>
    </w:p>
    <w:p w:rsidR="00CB316A" w:rsidRPr="00CB316A" w:rsidRDefault="00CB316A" w:rsidP="00CB316A">
      <w:pPr>
        <w:keepNext/>
        <w:keepLines/>
        <w:widowControl/>
        <w:autoSpaceDE/>
        <w:autoSpaceDN/>
        <w:spacing w:before="200" w:line="276" w:lineRule="auto"/>
        <w:outlineLvl w:val="1"/>
        <w:rPr>
          <w:rFonts w:eastAsia="MS Gothic" w:cs="Times New Roman"/>
          <w:b/>
          <w:bCs/>
          <w:sz w:val="24"/>
          <w:szCs w:val="24"/>
          <w:lang w:bidi="ar-SA"/>
        </w:rPr>
      </w:pPr>
      <w:r w:rsidRPr="00CB316A">
        <w:rPr>
          <w:rFonts w:eastAsia="MS Gothic" w:cs="Times New Roman"/>
          <w:b/>
          <w:bCs/>
          <w:sz w:val="24"/>
          <w:szCs w:val="24"/>
          <w:lang w:bidi="ar-SA"/>
        </w:rPr>
        <w:t>IX. Policy Review and Amendment</w:t>
      </w:r>
    </w:p>
    <w:p w:rsidR="00CB316A" w:rsidRPr="00CB316A" w:rsidRDefault="00CB316A" w:rsidP="00CB316A">
      <w:pPr>
        <w:widowControl/>
        <w:autoSpaceDE/>
        <w:autoSpaceDN/>
        <w:spacing w:after="200" w:line="276" w:lineRule="auto"/>
        <w:rPr>
          <w:rFonts w:eastAsia="MS Mincho" w:cs="Times New Roman"/>
          <w:sz w:val="24"/>
          <w:szCs w:val="24"/>
          <w:lang w:bidi="ar-SA"/>
        </w:rPr>
      </w:pPr>
      <w:r w:rsidRPr="00CB316A">
        <w:rPr>
          <w:rFonts w:eastAsia="MS Mincho" w:cs="Times New Roman"/>
          <w:sz w:val="24"/>
          <w:szCs w:val="24"/>
          <w:lang w:bidi="ar-SA"/>
        </w:rPr>
        <w:t>This consolidated policy shall be reviewed every five years or as otherwise needed due to changes in market conditions, legal requirements, or institutional priorities.</w:t>
      </w:r>
      <w:r w:rsidRPr="00CB316A">
        <w:rPr>
          <w:rFonts w:eastAsia="MS Mincho" w:cs="Times New Roman"/>
          <w:sz w:val="24"/>
          <w:szCs w:val="24"/>
          <w:lang w:bidi="ar-SA"/>
        </w:rPr>
        <w:br/>
      </w:r>
      <w:r w:rsidRPr="00CB316A">
        <w:rPr>
          <w:rFonts w:eastAsia="MS Mincho" w:cs="Times New Roman"/>
          <w:sz w:val="24"/>
          <w:szCs w:val="24"/>
          <w:lang w:bidi="ar-SA"/>
        </w:rPr>
        <w:br/>
        <w:t>Upon approval, this policy supersedes BP 1440, BP 1450, and BP 1460.</w:t>
      </w:r>
    </w:p>
    <w:p w:rsidR="00C75E07" w:rsidRDefault="00C75E07">
      <w:pPr>
        <w:pStyle w:val="BodyText"/>
        <w:rPr>
          <w:sz w:val="20"/>
        </w:rPr>
      </w:pPr>
    </w:p>
    <w:p w:rsidR="00C75E07" w:rsidRDefault="00C75E07">
      <w:pPr>
        <w:pStyle w:val="BodyText"/>
        <w:rPr>
          <w:sz w:val="20"/>
        </w:rPr>
      </w:pPr>
    </w:p>
    <w:p w:rsidR="00C75E07" w:rsidRDefault="00C75E07">
      <w:pPr>
        <w:pStyle w:val="BodyText"/>
        <w:rPr>
          <w:sz w:val="20"/>
        </w:rPr>
      </w:pPr>
    </w:p>
    <w:p w:rsidR="00C75E07" w:rsidRDefault="00C75E07">
      <w:pPr>
        <w:pStyle w:val="BodyText"/>
        <w:rPr>
          <w:sz w:val="20"/>
        </w:rPr>
      </w:pPr>
    </w:p>
    <w:p w:rsidR="00C75E07" w:rsidRDefault="00C75E07">
      <w:pPr>
        <w:pStyle w:val="BodyText"/>
        <w:rPr>
          <w:sz w:val="20"/>
        </w:rPr>
      </w:pPr>
    </w:p>
    <w:p w:rsidR="00C75E07" w:rsidRDefault="00C75E07">
      <w:pPr>
        <w:pStyle w:val="BodyText"/>
        <w:rPr>
          <w:sz w:val="20"/>
        </w:rPr>
      </w:pPr>
    </w:p>
    <w:p w:rsidR="00C75E07" w:rsidRDefault="00C75E07">
      <w:pPr>
        <w:pStyle w:val="BodyText"/>
        <w:rPr>
          <w:sz w:val="20"/>
        </w:rPr>
      </w:pPr>
    </w:p>
    <w:p w:rsidR="00C75E07" w:rsidRDefault="00C75E07">
      <w:pPr>
        <w:pStyle w:val="BodyText"/>
        <w:rPr>
          <w:sz w:val="20"/>
        </w:rPr>
      </w:pPr>
    </w:p>
    <w:p w:rsidR="00C75E07" w:rsidRDefault="00C75E07">
      <w:pPr>
        <w:pStyle w:val="BodyText"/>
        <w:rPr>
          <w:sz w:val="20"/>
        </w:rPr>
      </w:pPr>
    </w:p>
    <w:p w:rsidR="00C75E07" w:rsidRDefault="00C75E07">
      <w:pPr>
        <w:pStyle w:val="BodyText"/>
        <w:rPr>
          <w:sz w:val="20"/>
        </w:rPr>
      </w:pPr>
    </w:p>
    <w:p w:rsidR="00C75E07" w:rsidRDefault="00C75E07">
      <w:pPr>
        <w:pStyle w:val="BodyText"/>
        <w:rPr>
          <w:sz w:val="20"/>
        </w:rPr>
      </w:pPr>
    </w:p>
    <w:p w:rsidR="00C75E07" w:rsidRDefault="00C75E07">
      <w:pPr>
        <w:pStyle w:val="BodyText"/>
        <w:spacing w:before="6"/>
        <w:rPr>
          <w:sz w:val="21"/>
        </w:rPr>
      </w:pPr>
    </w:p>
    <w:p w:rsidR="00C75E07" w:rsidRDefault="002E0110">
      <w:pPr>
        <w:pStyle w:val="BodyText"/>
        <w:tabs>
          <w:tab w:val="left" w:pos="8842"/>
        </w:tabs>
        <w:spacing w:before="100"/>
        <w:ind w:left="431"/>
      </w:pPr>
      <w:r>
        <w:t>College of Micronesia-FSM Board</w:t>
      </w:r>
      <w:r>
        <w:rPr>
          <w:spacing w:val="-15"/>
        </w:rPr>
        <w:t xml:space="preserve"> </w:t>
      </w:r>
      <w:r>
        <w:t>Policy</w:t>
      </w:r>
      <w:r>
        <w:rPr>
          <w:spacing w:val="-1"/>
        </w:rPr>
        <w:t xml:space="preserve"> </w:t>
      </w:r>
      <w:r w:rsidR="00CB316A">
        <w:t>1490</w:t>
      </w:r>
      <w:r>
        <w:tab/>
        <w:t>Page 1 of</w:t>
      </w:r>
      <w:r>
        <w:rPr>
          <w:spacing w:val="-1"/>
        </w:rPr>
        <w:t xml:space="preserve"> </w:t>
      </w:r>
      <w:r>
        <w:t>1</w:t>
      </w:r>
    </w:p>
    <w:sectPr w:rsidR="00C75E07">
      <w:type w:val="continuous"/>
      <w:pgSz w:w="12240" w:h="15840"/>
      <w:pgMar w:top="320" w:right="82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07"/>
    <w:rsid w:val="002E0110"/>
    <w:rsid w:val="00C75E07"/>
    <w:rsid w:val="00CA05E0"/>
    <w:rsid w:val="00C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19C61"/>
  <w15:docId w15:val="{963E94A8-9244-4562-92EC-E6555D64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1">
    <w:name w:val="heading 1"/>
    <w:basedOn w:val="Normal"/>
    <w:uiPriority w:val="1"/>
    <w:qFormat/>
    <w:pPr>
      <w:spacing w:before="200"/>
      <w:ind w:left="43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1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CB31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553</Words>
  <Characters>3347</Characters>
  <Application>Microsoft Office Word</Application>
  <DocSecurity>0</DocSecurity>
  <Lines>90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Steven Young-Uhk</cp:lastModifiedBy>
  <cp:revision>4</cp:revision>
  <dcterms:created xsi:type="dcterms:W3CDTF">2025-07-07T14:11:00Z</dcterms:created>
  <dcterms:modified xsi:type="dcterms:W3CDTF">2025-07-07T14:19:00Z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2025-03-10T00:00:00Z</vt:filetime>
  </property>
  <property fmtid="{D5CDD505-2E9C-101B-9397-08002B2CF9AE}" pid="5" name="GrammarlyDocumentId">
    <vt:lpwstr>57af503a490a26525892d4e308fbe507af5a30771386d47f7bb7ead2d82b4ad8</vt:lpwstr>
  </property>
</Properties>
</file>